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2" w:type="pct"/>
        <w:tblCellSpacing w:w="15" w:type="dxa"/>
        <w:tblInd w:w="160" w:type="dxa"/>
        <w:tblCellMar>
          <w:left w:w="0" w:type="dxa"/>
          <w:right w:w="0" w:type="dxa"/>
        </w:tblCellMar>
        <w:tblLook w:val="04A0"/>
      </w:tblPr>
      <w:tblGrid>
        <w:gridCol w:w="8370"/>
        <w:gridCol w:w="37"/>
        <w:gridCol w:w="37"/>
        <w:gridCol w:w="37"/>
        <w:gridCol w:w="52"/>
      </w:tblGrid>
      <w:tr w:rsidR="00CA78FE" w:rsidRPr="00CA78FE" w:rsidTr="00CA78FE">
        <w:trPr>
          <w:tblCellSpacing w:w="15" w:type="dxa"/>
        </w:trPr>
        <w:tc>
          <w:tcPr>
            <w:tcW w:w="4880" w:type="pct"/>
            <w:vAlign w:val="center"/>
            <w:hideMark/>
          </w:tcPr>
          <w:p w:rsidR="00CA78FE" w:rsidRPr="00CA78FE" w:rsidRDefault="00CA78FE" w:rsidP="00CA78FE">
            <w:pPr>
              <w:spacing w:before="40" w:after="40" w:line="312" w:lineRule="atLeast"/>
              <w:rPr>
                <w:rFonts w:ascii="Tahoma" w:eastAsia="Times New Roman" w:hAnsi="Tahoma" w:cs="Tahoma"/>
                <w:b/>
                <w:bCs/>
                <w:color w:val="363434"/>
                <w:sz w:val="28"/>
                <w:szCs w:val="28"/>
                <w:lang w:eastAsia="pt-PT"/>
              </w:rPr>
            </w:pPr>
            <w:proofErr w:type="spellStart"/>
            <w:r w:rsidRPr="00CA78FE">
              <w:rPr>
                <w:rFonts w:ascii="Tahoma" w:eastAsia="Times New Roman" w:hAnsi="Tahoma" w:cs="Tahoma"/>
                <w:b/>
                <w:bCs/>
                <w:color w:val="363434"/>
                <w:sz w:val="28"/>
                <w:szCs w:val="28"/>
                <w:lang w:eastAsia="pt-PT"/>
              </w:rPr>
              <w:t>Scopinaro</w:t>
            </w:r>
            <w:proofErr w:type="spellEnd"/>
            <w:r w:rsidRPr="00CA78FE">
              <w:rPr>
                <w:rFonts w:ascii="Tahoma" w:eastAsia="Times New Roman" w:hAnsi="Tahoma" w:cs="Tahoma"/>
                <w:b/>
                <w:bCs/>
                <w:color w:val="363434"/>
                <w:sz w:val="28"/>
                <w:szCs w:val="28"/>
                <w:lang w:eastAsia="pt-PT"/>
              </w:rPr>
              <w:t xml:space="preserve"> </w:t>
            </w:r>
          </w:p>
        </w:tc>
        <w:tc>
          <w:tcPr>
            <w:tcW w:w="4" w:type="pct"/>
            <w:vAlign w:val="center"/>
            <w:hideMark/>
          </w:tcPr>
          <w:p w:rsidR="00CA78FE" w:rsidRPr="00CA78FE" w:rsidRDefault="00CA78FE" w:rsidP="00CA78FE">
            <w:pPr>
              <w:spacing w:before="40" w:after="40" w:line="312" w:lineRule="atLeast"/>
              <w:jc w:val="right"/>
              <w:rPr>
                <w:rFonts w:ascii="Tahoma" w:eastAsia="Times New Roman" w:hAnsi="Tahoma" w:cs="Tahoma"/>
                <w:color w:val="363434"/>
                <w:sz w:val="24"/>
                <w:szCs w:val="24"/>
                <w:lang w:eastAsia="pt-PT"/>
              </w:rPr>
            </w:pPr>
          </w:p>
        </w:tc>
        <w:tc>
          <w:tcPr>
            <w:tcW w:w="4" w:type="pct"/>
            <w:vAlign w:val="center"/>
            <w:hideMark/>
          </w:tcPr>
          <w:p w:rsidR="00CA78FE" w:rsidRPr="00CA78FE" w:rsidRDefault="00CA78FE" w:rsidP="00CA78FE">
            <w:pPr>
              <w:spacing w:before="40" w:after="40" w:line="312" w:lineRule="atLeast"/>
              <w:jc w:val="right"/>
              <w:rPr>
                <w:rFonts w:ascii="Tahoma" w:eastAsia="Times New Roman" w:hAnsi="Tahoma" w:cs="Tahoma"/>
                <w:color w:val="363434"/>
                <w:sz w:val="24"/>
                <w:szCs w:val="24"/>
                <w:lang w:eastAsia="pt-PT"/>
              </w:rPr>
            </w:pPr>
          </w:p>
        </w:tc>
        <w:tc>
          <w:tcPr>
            <w:tcW w:w="4" w:type="pct"/>
            <w:vAlign w:val="center"/>
            <w:hideMark/>
          </w:tcPr>
          <w:p w:rsidR="00CA78FE" w:rsidRPr="00CA78FE" w:rsidRDefault="00CA78FE" w:rsidP="00CA78FE">
            <w:pPr>
              <w:spacing w:before="40" w:after="40" w:line="312" w:lineRule="atLeast"/>
              <w:jc w:val="right"/>
              <w:rPr>
                <w:rFonts w:ascii="Tahoma" w:eastAsia="Times New Roman" w:hAnsi="Tahoma" w:cs="Tahoma"/>
                <w:color w:val="363434"/>
                <w:sz w:val="24"/>
                <w:szCs w:val="24"/>
                <w:lang w:eastAsia="pt-PT"/>
              </w:rPr>
            </w:pPr>
          </w:p>
        </w:tc>
        <w:tc>
          <w:tcPr>
            <w:tcW w:w="4" w:type="pct"/>
            <w:vAlign w:val="center"/>
            <w:hideMark/>
          </w:tcPr>
          <w:p w:rsidR="00CA78FE" w:rsidRPr="00CA78FE" w:rsidRDefault="00CA78FE" w:rsidP="00CA78FE">
            <w:pPr>
              <w:spacing w:before="40" w:after="40" w:line="312" w:lineRule="atLeast"/>
              <w:jc w:val="right"/>
              <w:rPr>
                <w:rFonts w:ascii="Tahoma" w:eastAsia="Times New Roman" w:hAnsi="Tahoma" w:cs="Tahoma"/>
                <w:color w:val="363434"/>
                <w:sz w:val="24"/>
                <w:szCs w:val="24"/>
                <w:lang w:eastAsia="pt-PT"/>
              </w:rPr>
            </w:pPr>
          </w:p>
        </w:tc>
      </w:tr>
    </w:tbl>
    <w:p w:rsidR="00CA78FE" w:rsidRPr="00CA78FE" w:rsidRDefault="00CA78FE" w:rsidP="00CA78FE">
      <w:pPr>
        <w:spacing w:after="0" w:line="312" w:lineRule="atLeast"/>
        <w:rPr>
          <w:rFonts w:ascii="Tahoma" w:eastAsia="Times New Roman" w:hAnsi="Tahoma" w:cs="Tahoma"/>
          <w:vanish/>
          <w:color w:val="363434"/>
          <w:sz w:val="24"/>
          <w:szCs w:val="24"/>
          <w:lang w:eastAsia="pt-PT"/>
        </w:rPr>
      </w:pPr>
    </w:p>
    <w:tbl>
      <w:tblPr>
        <w:tblW w:w="0" w:type="auto"/>
        <w:tblCellSpacing w:w="15" w:type="dxa"/>
        <w:tblInd w:w="160" w:type="dxa"/>
        <w:tblCellMar>
          <w:left w:w="0" w:type="dxa"/>
          <w:right w:w="0" w:type="dxa"/>
        </w:tblCellMar>
        <w:tblLook w:val="04A0"/>
      </w:tblPr>
      <w:tblGrid>
        <w:gridCol w:w="8404"/>
      </w:tblGrid>
      <w:tr w:rsidR="00CA78FE" w:rsidRPr="00CA78FE" w:rsidTr="00CA78FE">
        <w:trPr>
          <w:tblCellSpacing w:w="15" w:type="dxa"/>
        </w:trPr>
        <w:tc>
          <w:tcPr>
            <w:tcW w:w="0" w:type="auto"/>
            <w:hideMark/>
          </w:tcPr>
          <w:p w:rsidR="00CA78FE" w:rsidRPr="00CA78FE" w:rsidRDefault="00CA78FE" w:rsidP="00CA78FE">
            <w:pPr>
              <w:spacing w:after="100" w:line="312" w:lineRule="atLeast"/>
              <w:rPr>
                <w:rFonts w:eastAsia="Times New Roman" w:cs="Tahoma"/>
                <w:color w:val="363434"/>
                <w:sz w:val="24"/>
                <w:szCs w:val="24"/>
                <w:lang w:eastAsia="pt-PT"/>
              </w:rPr>
            </w:pPr>
            <w:r w:rsidRPr="00CA78FE">
              <w:rPr>
                <w:rFonts w:eastAsia="Times New Roman" w:cs="Tahoma"/>
                <w:noProof/>
                <w:color w:val="000000"/>
                <w:sz w:val="24"/>
                <w:szCs w:val="24"/>
                <w:lang w:eastAsia="pt-PT"/>
              </w:rPr>
              <w:drawing>
                <wp:inline distT="0" distB="0" distL="0" distR="0">
                  <wp:extent cx="1270000" cy="1727200"/>
                  <wp:effectExtent l="19050" t="0" r="6350" b="0"/>
                  <wp:docPr id="5" name="Imagem 5" descr="http://www.adexo.pt/images/stories/scopinaro%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dexo.pt/images/stories/scopinaro%2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72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8FE">
              <w:rPr>
                <w:rFonts w:eastAsia="Times New Roman" w:cs="Tahoma"/>
                <w:noProof/>
                <w:color w:val="000000"/>
                <w:sz w:val="24"/>
                <w:szCs w:val="24"/>
                <w:lang w:eastAsia="pt-PT"/>
              </w:rPr>
              <w:drawing>
                <wp:inline distT="0" distB="0" distL="0" distR="0">
                  <wp:extent cx="1485900" cy="1727200"/>
                  <wp:effectExtent l="19050" t="0" r="0" b="0"/>
                  <wp:docPr id="6" name="Imagem 6" descr="http://www.adexo.pt/images/stories/scopinaro%2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dexo.pt/images/stories/scopinaro%2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72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8FE" w:rsidRPr="00CA78FE" w:rsidRDefault="00CA78FE" w:rsidP="00CA78FE">
            <w:pPr>
              <w:spacing w:after="100" w:line="312" w:lineRule="atLeast"/>
              <w:rPr>
                <w:rFonts w:eastAsia="Times New Roman" w:cs="Tahoma"/>
                <w:color w:val="363434"/>
                <w:sz w:val="24"/>
                <w:szCs w:val="24"/>
                <w:lang w:eastAsia="pt-PT"/>
              </w:rPr>
            </w:pP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Scopinaro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desenvolveu no fim da década de 70 uma variante ao </w:t>
            </w:r>
            <w:proofErr w:type="gram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bypass</w:t>
            </w:r>
            <w:proofErr w:type="gram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jejuno-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ileal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, a Diversão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Biliopancreática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, um processo em que nenhum segmento do intestino delgado é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disfuncionalizado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, tornando os problemas hepáticos muito menos frequentes. Este processo apresenta um componente restritivo (gastrectomia subtotal, ficando com um reservatório com capacidades compreendidas entre 200 e 500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cc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.). O segundo componente induz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malabsorção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ao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confeccionar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um Y de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Roux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com um braço longo e com um canal alimentar comum de 50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cms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. </w:t>
            </w:r>
            <w:proofErr w:type="gram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de</w:t>
            </w:r>
            <w:proofErr w:type="gram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comprimento. Este componente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malabsortivo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mantém a perda de peso estável ao longo do tempo.</w:t>
            </w:r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br/>
              <w:t>As grandes vantagens desta operação são a capacidade de ingerir grandes quantidades de alimentos e mesmo assim atingir uma excelente perda de peso ao longo do tempo.</w:t>
            </w:r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br/>
              <w:t xml:space="preserve">As grandes desvantagens são a sua associação com fezes moles, aumento do número de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dejecções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, úlceras do estoma, fezes mal odorosas e flatulência. A complicação mais grave é a malnutrição proteica associada a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hipoalbuminemia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, anemia, edemas,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alopécia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, complicações neurológicas e astenia requerendo hospitalização de 2 - 3 semanas para reposição proteica por via parentérica.</w:t>
            </w:r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br/>
              <w:t xml:space="preserve">No ano de 1988, Hess, descreveu uma combinação da Diversão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Biliopancreática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de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Scopinaro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e o Duodenal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Switch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descrito por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DeMeester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para tratamento da gastrite de alcalinos. Desenvolveu uma operação com as vantagens da diversão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biliopancreática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de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Scopinaro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, mas com menos problemas associados. </w:t>
            </w:r>
          </w:p>
          <w:p w:rsidR="00CA78FE" w:rsidRPr="00CA78FE" w:rsidRDefault="00CA78FE" w:rsidP="00CA78FE">
            <w:pPr>
              <w:spacing w:after="100" w:line="312" w:lineRule="atLeast"/>
              <w:rPr>
                <w:rFonts w:eastAsia="Times New Roman" w:cs="Tahoma"/>
                <w:color w:val="363434"/>
                <w:sz w:val="24"/>
                <w:szCs w:val="24"/>
                <w:lang w:eastAsia="pt-PT"/>
              </w:rPr>
            </w:pPr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Esta operação permite que a primeira porção do duodeno se mantenha no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tracto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alimentar reduzindo o número de ulceras do estoma. Combinada com gastrectomia de 70 - 80% da grande curvatura (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sleeve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gastrectomie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) a continuidade da pequena curvatura é mantida reduzindo o volume gástrico, mas mantendo a função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antropilórica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. </w:t>
            </w:r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br/>
            </w:r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br/>
              <w:t xml:space="preserve">É então criado um longo braço do Y de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Roux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divergindo a bile, diminuindo assim a absorção de gorduras. </w:t>
            </w:r>
          </w:p>
          <w:p w:rsidR="00CA78FE" w:rsidRPr="00CA78FE" w:rsidRDefault="00CA78FE" w:rsidP="00CA78FE">
            <w:pPr>
              <w:spacing w:after="100" w:line="312" w:lineRule="atLeast"/>
              <w:rPr>
                <w:rFonts w:eastAsia="Times New Roman" w:cs="Tahoma"/>
                <w:color w:val="363434"/>
                <w:sz w:val="24"/>
                <w:szCs w:val="24"/>
                <w:lang w:eastAsia="pt-PT"/>
              </w:rPr>
            </w:pPr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Esta técnica é apresentada por Hess e publicada por Marceau e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Bron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e, tem por finalidade diminuir as complicações da diversão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biliopancreática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de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Scopinaro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, nomeadamente as </w:t>
            </w:r>
            <w:proofErr w:type="gram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ulceras</w:t>
            </w:r>
            <w:proofErr w:type="gram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da boca anastomótica, o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sindrome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de Dumping, bem como um menor número de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dejecções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diárias, menos dores ósseas e vómitos.</w:t>
            </w:r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br/>
              <w:t xml:space="preserve">As complicações mais frequentes da diversão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biliopancreática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são:</w:t>
            </w:r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br/>
            </w:r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lastRenderedPageBreak/>
              <w:t>Malnutrição proteica (15%)</w:t>
            </w:r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br/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Hernias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</w:t>
            </w:r>
            <w:proofErr w:type="spellStart"/>
            <w:proofErr w:type="gram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incisionais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br/>
              <w:t>Oclusão intestinal</w:t>
            </w:r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br/>
              <w:t>Úlceras do estoma</w:t>
            </w:r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br/>
              <w:t>Desmineralização óssea</w:t>
            </w:r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br/>
              <w:t xml:space="preserve">Acne, hemorroides, cegueira </w:t>
            </w:r>
            <w:proofErr w:type="spellStart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>nocturna</w:t>
            </w:r>
            <w:proofErr w:type="spell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br/>
              <w:t>Além disso tem</w:t>
            </w:r>
            <w:proofErr w:type="gramEnd"/>
            <w:r w:rsidRPr="00CA78FE">
              <w:rPr>
                <w:rFonts w:eastAsia="Times New Roman" w:cs="Tahoma"/>
                <w:color w:val="000000"/>
                <w:sz w:val="24"/>
                <w:szCs w:val="24"/>
                <w:lang w:eastAsia="pt-PT"/>
              </w:rPr>
              <w:t xml:space="preserve"> mortalidade que, consoante os centros varia entre os 1 e 2%</w:t>
            </w:r>
          </w:p>
        </w:tc>
      </w:tr>
    </w:tbl>
    <w:p w:rsidR="00FA49BF" w:rsidRDefault="00FA49BF" w:rsidP="00CA78FE"/>
    <w:sectPr w:rsidR="00FA49BF" w:rsidSect="00FA4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CA78FE"/>
    <w:rsid w:val="00CA78FE"/>
    <w:rsid w:val="00FA4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9B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78FE"/>
    <w:pPr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astip">
    <w:name w:val="hastip"/>
    <w:basedOn w:val="Tipodeletrapredefinidodopargrafo"/>
    <w:rsid w:val="00CA78FE"/>
  </w:style>
  <w:style w:type="paragraph" w:styleId="Textodebalo">
    <w:name w:val="Balloon Text"/>
    <w:basedOn w:val="Normal"/>
    <w:link w:val="TextodebaloCarcter"/>
    <w:uiPriority w:val="99"/>
    <w:semiHidden/>
    <w:unhideWhenUsed/>
    <w:rsid w:val="00CA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A7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6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2015-03-11T09:05:00Z</dcterms:created>
  <dcterms:modified xsi:type="dcterms:W3CDTF">2015-03-11T09:06:00Z</dcterms:modified>
</cp:coreProperties>
</file>